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C12" w:rsidRPr="00476BB6" w:rsidRDefault="006F4C12" w:rsidP="006F4C12">
      <w:pPr>
        <w:spacing w:before="0" w:after="0"/>
        <w:ind w:firstLine="0"/>
        <w:jc w:val="center"/>
        <w:rPr>
          <w:rFonts w:eastAsia="Segoe UI" w:cs="Times New Roman"/>
          <w:b/>
          <w:bCs/>
          <w:color w:val="000000" w:themeColor="text1"/>
          <w:spacing w:val="2"/>
          <w:sz w:val="24"/>
          <w:szCs w:val="24"/>
        </w:rPr>
      </w:pPr>
      <w:r w:rsidRPr="00476BB6">
        <w:rPr>
          <w:rFonts w:eastAsia="Segoe UI" w:cs="Times New Roman"/>
          <w:b/>
          <w:bCs/>
          <w:color w:val="000000" w:themeColor="text1"/>
          <w:spacing w:val="2"/>
          <w:sz w:val="24"/>
          <w:szCs w:val="24"/>
        </w:rPr>
        <w:t xml:space="preserve">THỦ TỤC HÀNH CHÍNH ĐƯỢC SỬA ĐỔI, BỔ SUNG </w:t>
      </w:r>
    </w:p>
    <w:p w:rsidR="006F4C12" w:rsidRPr="00476BB6" w:rsidRDefault="006F4C12" w:rsidP="006F4C12">
      <w:pPr>
        <w:spacing w:before="0" w:after="0"/>
        <w:ind w:firstLine="0"/>
        <w:jc w:val="center"/>
        <w:rPr>
          <w:rFonts w:eastAsia="Segoe UI" w:cs="Times New Roman"/>
          <w:b/>
          <w:bCs/>
          <w:color w:val="000000" w:themeColor="text1"/>
          <w:spacing w:val="2"/>
          <w:sz w:val="24"/>
          <w:szCs w:val="24"/>
        </w:rPr>
      </w:pPr>
      <w:r w:rsidRPr="00476BB6">
        <w:rPr>
          <w:rFonts w:eastAsia="Segoe UI" w:cs="Times New Roman"/>
          <w:b/>
          <w:bCs/>
          <w:color w:val="000000" w:themeColor="text1"/>
          <w:spacing w:val="2"/>
          <w:sz w:val="24"/>
          <w:szCs w:val="24"/>
        </w:rPr>
        <w:t>TRONG LĨNH VỰC BẢO ĐẢM AN NINH HÀNG KHÔNG</w:t>
      </w:r>
    </w:p>
    <w:p w:rsidR="006F4C12" w:rsidRPr="00476BB6" w:rsidRDefault="006F4C12" w:rsidP="006F4C12">
      <w:pPr>
        <w:spacing w:before="0" w:after="0"/>
        <w:ind w:firstLine="0"/>
        <w:jc w:val="center"/>
        <w:rPr>
          <w:rFonts w:cs="Times New Roman"/>
          <w:b/>
          <w:color w:val="000000" w:themeColor="text1"/>
          <w:sz w:val="24"/>
          <w:szCs w:val="24"/>
          <w:shd w:val="clear" w:color="FFFFFF" w:fill="D9D9D9"/>
        </w:rPr>
      </w:pPr>
      <w:r w:rsidRPr="00476BB6">
        <w:rPr>
          <w:rFonts w:cs="Times New Roman"/>
          <w:b/>
          <w:color w:val="000000" w:themeColor="text1"/>
          <w:spacing w:val="-8"/>
          <w:sz w:val="24"/>
          <w:szCs w:val="24"/>
        </w:rPr>
        <w:t xml:space="preserve">THUỘC </w:t>
      </w:r>
      <w:r w:rsidRPr="00476BB6">
        <w:rPr>
          <w:rFonts w:cs="Times New Roman"/>
          <w:b/>
          <w:color w:val="000000" w:themeColor="text1"/>
          <w:sz w:val="24"/>
          <w:szCs w:val="24"/>
        </w:rPr>
        <w:t>THẨM QUYỀN GIẢI QUYẾT CỦA CÔNG AN TỈNH</w:t>
      </w:r>
    </w:p>
    <w:p w:rsidR="006F4C12" w:rsidRPr="00476BB6" w:rsidRDefault="006F4C12" w:rsidP="006F4C12">
      <w:pPr>
        <w:spacing w:before="0" w:after="0"/>
        <w:ind w:firstLine="0"/>
        <w:jc w:val="center"/>
        <w:rPr>
          <w:rFonts w:cs="Times New Roman"/>
          <w:i/>
          <w:spacing w:val="-10"/>
          <w:sz w:val="24"/>
          <w:szCs w:val="24"/>
        </w:rPr>
      </w:pPr>
      <w:r w:rsidRPr="00476BB6">
        <w:rPr>
          <w:rFonts w:cs="Times New Roman"/>
          <w:i/>
          <w:spacing w:val="-10"/>
          <w:sz w:val="24"/>
          <w:szCs w:val="24"/>
        </w:rPr>
        <w:t xml:space="preserve">(Ban hành kèm theo Quyết định số           /QĐ-CAT-PA08 </w:t>
      </w:r>
    </w:p>
    <w:p w:rsidR="006F4C12" w:rsidRPr="00476BB6" w:rsidRDefault="006F4C12" w:rsidP="006F4C12">
      <w:pPr>
        <w:spacing w:before="0" w:after="0"/>
        <w:ind w:firstLine="0"/>
        <w:jc w:val="center"/>
        <w:rPr>
          <w:rFonts w:cs="Times New Roman"/>
          <w:sz w:val="24"/>
          <w:szCs w:val="24"/>
        </w:rPr>
      </w:pPr>
      <w:r w:rsidRPr="00476BB6">
        <w:rPr>
          <w:rFonts w:cs="Times New Roman"/>
          <w:i/>
          <w:spacing w:val="-10"/>
          <w:sz w:val="24"/>
          <w:szCs w:val="24"/>
        </w:rPr>
        <w:t xml:space="preserve">ngày       tháng      năm 2026 </w:t>
      </w:r>
      <w:r w:rsidRPr="00476BB6">
        <w:rPr>
          <w:rFonts w:cs="Times New Roman"/>
          <w:i/>
          <w:sz w:val="24"/>
          <w:szCs w:val="24"/>
        </w:rPr>
        <w:t>của Giám đốc Công an tỉnh An Giang)</w:t>
      </w:r>
    </w:p>
    <w:p w:rsidR="006F4C12" w:rsidRPr="000A6ABA" w:rsidRDefault="00094032" w:rsidP="006F4C12">
      <w:pPr>
        <w:spacing w:before="240" w:after="0"/>
        <w:ind w:firstLine="720"/>
        <w:rPr>
          <w:rFonts w:cs="Times New Roman"/>
          <w:b/>
          <w:sz w:val="22"/>
        </w:rPr>
      </w:pPr>
      <w:r w:rsidRPr="000A6ABA">
        <w:rPr>
          <w:rFonts w:cs="Times New Roman"/>
          <w:b/>
          <w:sz w:val="22"/>
        </w:rPr>
        <w:pict>
          <v:line id="_x0000_s1026" style="position:absolute;left:0;text-align:left;z-index:251660288" from="145.95pt,.7pt" to="325.4pt,.7pt" o:gfxdata="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X5oEtYAAAAJAQAADwAA&#10;AAAAAAABACAAAAAiAAAAZHJzL2Rvd25yZXYueG1sUEsBAhQAFAAAAAgAh07iQB87wzzfAQAA1gMA&#10;AA4AAAAAAAAAAQAgAAAAJQEAAGRycy9lMm9Eb2MueG1sUEsFBgAAAAAGAAYAWQEAAHYFAAAAAA==&#10;" strokecolor="black [3200]"/>
        </w:pict>
      </w:r>
      <w:r w:rsidR="006F4C12" w:rsidRPr="000A6ABA">
        <w:rPr>
          <w:rFonts w:cs="Times New Roman"/>
          <w:b/>
          <w:sz w:val="22"/>
        </w:rPr>
        <w:t>I. DANH MỤC THỦ TỤC HÀNH CHÍNH</w:t>
      </w:r>
    </w:p>
    <w:tbl>
      <w:tblPr>
        <w:tblStyle w:val="TableGrid"/>
        <w:tblW w:w="0" w:type="auto"/>
        <w:tblInd w:w="115" w:type="dxa"/>
        <w:tblLook w:val="04A0"/>
      </w:tblPr>
      <w:tblGrid>
        <w:gridCol w:w="743"/>
        <w:gridCol w:w="1377"/>
        <w:gridCol w:w="1984"/>
        <w:gridCol w:w="2595"/>
        <w:gridCol w:w="963"/>
        <w:gridCol w:w="1511"/>
      </w:tblGrid>
      <w:tr w:rsidR="006F4C12" w:rsidRPr="000A6ABA" w:rsidTr="001F4479">
        <w:trPr>
          <w:cantSplit/>
        </w:trPr>
        <w:tc>
          <w:tcPr>
            <w:tcW w:w="743" w:type="dxa"/>
            <w:vAlign w:val="center"/>
          </w:tcPr>
          <w:p w:rsidR="006F4C12" w:rsidRPr="000A6ABA" w:rsidRDefault="006F4C12" w:rsidP="00065BD6">
            <w:pPr>
              <w:spacing w:before="0" w:after="0"/>
              <w:ind w:firstLine="0"/>
              <w:jc w:val="center"/>
              <w:rPr>
                <w:b/>
                <w:sz w:val="22"/>
                <w:szCs w:val="22"/>
              </w:rPr>
            </w:pPr>
            <w:r w:rsidRPr="000A6ABA">
              <w:rPr>
                <w:b/>
                <w:sz w:val="22"/>
                <w:szCs w:val="22"/>
              </w:rPr>
              <w:t>STT</w:t>
            </w:r>
          </w:p>
        </w:tc>
        <w:tc>
          <w:tcPr>
            <w:tcW w:w="1377" w:type="dxa"/>
            <w:vAlign w:val="center"/>
          </w:tcPr>
          <w:p w:rsidR="006F4C12" w:rsidRPr="000A6ABA" w:rsidRDefault="006F4C12" w:rsidP="00065BD6">
            <w:pPr>
              <w:spacing w:before="0" w:after="0"/>
              <w:ind w:firstLine="0"/>
              <w:jc w:val="center"/>
              <w:rPr>
                <w:b/>
                <w:sz w:val="22"/>
                <w:szCs w:val="22"/>
              </w:rPr>
            </w:pPr>
            <w:r w:rsidRPr="000A6ABA">
              <w:rPr>
                <w:b/>
                <w:sz w:val="22"/>
                <w:szCs w:val="22"/>
              </w:rPr>
              <w:t>Mã thủ tục hành chính</w:t>
            </w:r>
          </w:p>
        </w:tc>
        <w:tc>
          <w:tcPr>
            <w:tcW w:w="1984" w:type="dxa"/>
            <w:vAlign w:val="center"/>
          </w:tcPr>
          <w:p w:rsidR="006F4C12" w:rsidRPr="000A6ABA" w:rsidRDefault="006F4C12" w:rsidP="00065BD6">
            <w:pPr>
              <w:spacing w:before="0" w:after="0"/>
              <w:ind w:firstLine="0"/>
              <w:jc w:val="center"/>
              <w:rPr>
                <w:b/>
                <w:sz w:val="22"/>
                <w:szCs w:val="22"/>
              </w:rPr>
            </w:pPr>
            <w:r w:rsidRPr="000A6ABA">
              <w:rPr>
                <w:b/>
                <w:sz w:val="22"/>
                <w:szCs w:val="22"/>
              </w:rPr>
              <w:t>Tên thủ tục hành chính</w:t>
            </w:r>
          </w:p>
        </w:tc>
        <w:tc>
          <w:tcPr>
            <w:tcW w:w="2595" w:type="dxa"/>
            <w:vAlign w:val="center"/>
          </w:tcPr>
          <w:p w:rsidR="006F4C12" w:rsidRPr="000A6ABA" w:rsidRDefault="006F4C12" w:rsidP="00065BD6">
            <w:pPr>
              <w:spacing w:before="0" w:after="0"/>
              <w:ind w:firstLine="0"/>
              <w:jc w:val="center"/>
              <w:rPr>
                <w:b/>
                <w:sz w:val="22"/>
                <w:szCs w:val="22"/>
              </w:rPr>
            </w:pPr>
            <w:r w:rsidRPr="000A6ABA">
              <w:rPr>
                <w:b/>
                <w:sz w:val="22"/>
                <w:szCs w:val="22"/>
              </w:rPr>
              <w:t>Tên văn bản QPPL quy định nội dung sửa đổi, bổ sung</w:t>
            </w:r>
          </w:p>
        </w:tc>
        <w:tc>
          <w:tcPr>
            <w:tcW w:w="963" w:type="dxa"/>
            <w:vAlign w:val="center"/>
          </w:tcPr>
          <w:p w:rsidR="006F4C12" w:rsidRPr="000A6ABA" w:rsidRDefault="006F4C12" w:rsidP="00065BD6">
            <w:pPr>
              <w:spacing w:before="0" w:after="0"/>
              <w:ind w:firstLine="0"/>
              <w:jc w:val="center"/>
              <w:rPr>
                <w:b/>
                <w:sz w:val="22"/>
                <w:szCs w:val="22"/>
              </w:rPr>
            </w:pPr>
            <w:r w:rsidRPr="000A6ABA">
              <w:rPr>
                <w:b/>
                <w:sz w:val="22"/>
                <w:szCs w:val="22"/>
              </w:rPr>
              <w:t>Lĩnh vực</w:t>
            </w:r>
          </w:p>
        </w:tc>
        <w:tc>
          <w:tcPr>
            <w:tcW w:w="1511" w:type="dxa"/>
            <w:vAlign w:val="center"/>
          </w:tcPr>
          <w:p w:rsidR="006F4C12" w:rsidRPr="000A6ABA" w:rsidRDefault="006F4C12" w:rsidP="00065BD6">
            <w:pPr>
              <w:spacing w:before="0" w:after="0"/>
              <w:ind w:firstLine="0"/>
              <w:jc w:val="center"/>
              <w:rPr>
                <w:b/>
                <w:sz w:val="22"/>
                <w:szCs w:val="22"/>
              </w:rPr>
            </w:pPr>
            <w:r w:rsidRPr="000A6ABA">
              <w:rPr>
                <w:b/>
                <w:sz w:val="22"/>
                <w:szCs w:val="22"/>
              </w:rPr>
              <w:t>Cơ quan thực hiện</w:t>
            </w:r>
          </w:p>
        </w:tc>
      </w:tr>
      <w:tr w:rsidR="006F4C12" w:rsidRPr="000A6ABA" w:rsidTr="001F4479">
        <w:trPr>
          <w:cantSplit/>
        </w:trPr>
        <w:tc>
          <w:tcPr>
            <w:tcW w:w="743" w:type="dxa"/>
            <w:vAlign w:val="center"/>
          </w:tcPr>
          <w:p w:rsidR="006F4C12" w:rsidRPr="000A6ABA" w:rsidRDefault="006F4C12" w:rsidP="00065BD6">
            <w:pPr>
              <w:spacing w:before="0" w:after="0"/>
              <w:ind w:firstLine="0"/>
              <w:jc w:val="center"/>
              <w:rPr>
                <w:sz w:val="22"/>
                <w:szCs w:val="22"/>
              </w:rPr>
            </w:pPr>
            <w:r w:rsidRPr="000A6ABA">
              <w:rPr>
                <w:sz w:val="22"/>
                <w:szCs w:val="22"/>
              </w:rPr>
              <w:t>1</w:t>
            </w:r>
          </w:p>
        </w:tc>
        <w:tc>
          <w:tcPr>
            <w:tcW w:w="1377" w:type="dxa"/>
            <w:vAlign w:val="center"/>
          </w:tcPr>
          <w:p w:rsidR="006F4C12" w:rsidRPr="000A6ABA" w:rsidRDefault="006F4C12" w:rsidP="00065BD6">
            <w:pPr>
              <w:spacing w:before="0" w:after="0"/>
              <w:ind w:firstLine="0"/>
              <w:jc w:val="center"/>
              <w:rPr>
                <w:sz w:val="22"/>
                <w:szCs w:val="22"/>
              </w:rPr>
            </w:pPr>
            <w:r w:rsidRPr="000A6ABA">
              <w:rPr>
                <w:sz w:val="22"/>
                <w:szCs w:val="22"/>
              </w:rPr>
              <w:t>3.000.368</w:t>
            </w:r>
          </w:p>
        </w:tc>
        <w:tc>
          <w:tcPr>
            <w:tcW w:w="1984" w:type="dxa"/>
            <w:vAlign w:val="center"/>
          </w:tcPr>
          <w:p w:rsidR="006F4C12" w:rsidRPr="000A6ABA" w:rsidRDefault="006F4C12" w:rsidP="00065BD6">
            <w:pPr>
              <w:spacing w:before="0" w:after="0"/>
              <w:ind w:firstLine="0"/>
              <w:rPr>
                <w:sz w:val="22"/>
                <w:szCs w:val="22"/>
              </w:rPr>
            </w:pPr>
            <w:r w:rsidRPr="000A6ABA">
              <w:rPr>
                <w:rFonts w:eastAsia="Segoe UI"/>
                <w:color w:val="000000" w:themeColor="text1"/>
                <w:spacing w:val="2"/>
                <w:sz w:val="22"/>
                <w:szCs w:val="22"/>
              </w:rPr>
              <w:t>Cấp mới thẻ kiểm soát an ninh cảng hàng không, sân bay có giá trị sử dụng dài hạn</w:t>
            </w:r>
          </w:p>
        </w:tc>
        <w:tc>
          <w:tcPr>
            <w:tcW w:w="2595" w:type="dxa"/>
            <w:vAlign w:val="center"/>
          </w:tcPr>
          <w:p w:rsidR="006F4C12" w:rsidRPr="000A6ABA" w:rsidRDefault="006F4C12" w:rsidP="00065BD6">
            <w:pPr>
              <w:ind w:firstLine="0"/>
              <w:rPr>
                <w:rFonts w:eastAsia="Segoe UI"/>
                <w:color w:val="000000" w:themeColor="text1"/>
                <w:spacing w:val="2"/>
                <w:sz w:val="22"/>
                <w:szCs w:val="22"/>
              </w:rPr>
            </w:pPr>
            <w:r w:rsidRPr="000A6ABA">
              <w:rPr>
                <w:rFonts w:eastAsia="Segoe UI"/>
                <w:color w:val="000000" w:themeColor="text1"/>
                <w:spacing w:val="2"/>
                <w:sz w:val="22"/>
                <w:szCs w:val="22"/>
              </w:rPr>
              <w:t>Thông tư số 14/2026/TT-BCA ngày 03 tháng 02 năm 2026 của Bộ trưởng Bộ Công an quy định chi tiết Chương trình An ninh hàng không và kiểm soát chất lượng An ninh hàng không Việt Nam.</w:t>
            </w:r>
          </w:p>
        </w:tc>
        <w:tc>
          <w:tcPr>
            <w:tcW w:w="963" w:type="dxa"/>
            <w:vAlign w:val="center"/>
          </w:tcPr>
          <w:p w:rsidR="006F4C12" w:rsidRPr="000A6ABA" w:rsidRDefault="006F4C12" w:rsidP="00065BD6">
            <w:pPr>
              <w:spacing w:before="0" w:after="0"/>
              <w:ind w:firstLine="0"/>
              <w:jc w:val="center"/>
              <w:rPr>
                <w:sz w:val="22"/>
                <w:szCs w:val="22"/>
              </w:rPr>
            </w:pPr>
            <w:r w:rsidRPr="000A6ABA">
              <w:rPr>
                <w:sz w:val="22"/>
                <w:szCs w:val="22"/>
              </w:rPr>
              <w:t>Bảo đảm an ninh hàng không</w:t>
            </w:r>
          </w:p>
        </w:tc>
        <w:tc>
          <w:tcPr>
            <w:tcW w:w="1511" w:type="dxa"/>
            <w:vAlign w:val="center"/>
          </w:tcPr>
          <w:p w:rsidR="006F4C12" w:rsidRPr="000A6ABA" w:rsidRDefault="006F4C12" w:rsidP="00065BD6">
            <w:pPr>
              <w:spacing w:before="0" w:after="0"/>
              <w:ind w:firstLine="0"/>
              <w:jc w:val="center"/>
              <w:rPr>
                <w:sz w:val="22"/>
                <w:szCs w:val="22"/>
              </w:rPr>
            </w:pPr>
            <w:r w:rsidRPr="000A6ABA">
              <w:rPr>
                <w:sz w:val="22"/>
                <w:szCs w:val="22"/>
              </w:rPr>
              <w:t xml:space="preserve">Phòng Quản lý </w:t>
            </w:r>
          </w:p>
          <w:p w:rsidR="006F4C12" w:rsidRPr="000A6ABA" w:rsidRDefault="006F4C12" w:rsidP="00065BD6">
            <w:pPr>
              <w:spacing w:before="0" w:after="0"/>
              <w:ind w:firstLine="0"/>
              <w:jc w:val="center"/>
              <w:rPr>
                <w:sz w:val="22"/>
                <w:szCs w:val="22"/>
              </w:rPr>
            </w:pPr>
            <w:r w:rsidRPr="000A6ABA">
              <w:rPr>
                <w:sz w:val="22"/>
                <w:szCs w:val="22"/>
              </w:rPr>
              <w:t>xuất nhập cảnh Công an tỉnh An Giang</w:t>
            </w:r>
          </w:p>
        </w:tc>
      </w:tr>
      <w:tr w:rsidR="006F4C12" w:rsidRPr="000A6ABA" w:rsidTr="001F4479">
        <w:trPr>
          <w:cantSplit/>
        </w:trPr>
        <w:tc>
          <w:tcPr>
            <w:tcW w:w="743" w:type="dxa"/>
            <w:vAlign w:val="center"/>
          </w:tcPr>
          <w:p w:rsidR="006F4C12" w:rsidRPr="000A6ABA" w:rsidRDefault="006F4C12" w:rsidP="00065BD6">
            <w:pPr>
              <w:spacing w:before="0" w:after="0"/>
              <w:ind w:firstLine="0"/>
              <w:jc w:val="center"/>
              <w:rPr>
                <w:sz w:val="22"/>
                <w:szCs w:val="22"/>
              </w:rPr>
            </w:pPr>
            <w:r w:rsidRPr="000A6ABA">
              <w:rPr>
                <w:sz w:val="22"/>
                <w:szCs w:val="22"/>
              </w:rPr>
              <w:t>2</w:t>
            </w:r>
          </w:p>
        </w:tc>
        <w:tc>
          <w:tcPr>
            <w:tcW w:w="1377" w:type="dxa"/>
            <w:vAlign w:val="center"/>
          </w:tcPr>
          <w:p w:rsidR="006F4C12" w:rsidRPr="000A6ABA" w:rsidRDefault="006F4C12" w:rsidP="00065BD6">
            <w:pPr>
              <w:spacing w:before="0" w:after="0"/>
              <w:ind w:firstLine="0"/>
              <w:jc w:val="center"/>
              <w:rPr>
                <w:sz w:val="22"/>
                <w:szCs w:val="22"/>
              </w:rPr>
            </w:pPr>
            <w:r w:rsidRPr="000A6ABA">
              <w:rPr>
                <w:sz w:val="22"/>
                <w:szCs w:val="22"/>
              </w:rPr>
              <w:t>3.000.369</w:t>
            </w:r>
          </w:p>
        </w:tc>
        <w:tc>
          <w:tcPr>
            <w:tcW w:w="1984" w:type="dxa"/>
            <w:vAlign w:val="center"/>
          </w:tcPr>
          <w:p w:rsidR="006F4C12" w:rsidRPr="000A6ABA" w:rsidRDefault="006F4C12" w:rsidP="00065BD6">
            <w:pPr>
              <w:widowControl w:val="0"/>
              <w:suppressAutoHyphens/>
              <w:spacing w:before="0" w:after="0"/>
              <w:ind w:firstLine="0"/>
              <w:rPr>
                <w:rFonts w:eastAsia="Times New Roman"/>
                <w:sz w:val="22"/>
                <w:szCs w:val="22"/>
                <w:lang w:eastAsia="ar-SA"/>
              </w:rPr>
            </w:pPr>
            <w:r w:rsidRPr="000A6ABA">
              <w:rPr>
                <w:rFonts w:eastAsia="Segoe UI"/>
                <w:color w:val="000000" w:themeColor="text1"/>
                <w:spacing w:val="2"/>
                <w:sz w:val="22"/>
                <w:szCs w:val="22"/>
              </w:rPr>
              <w:t>Cấp lại thẻ kiểm soát an ninh cảng hàng không, sân bay có giá trị sử dụng dài hạn</w:t>
            </w:r>
          </w:p>
        </w:tc>
        <w:tc>
          <w:tcPr>
            <w:tcW w:w="2595" w:type="dxa"/>
            <w:vAlign w:val="center"/>
          </w:tcPr>
          <w:p w:rsidR="006F4C12" w:rsidRPr="000A6ABA" w:rsidRDefault="006F4C12" w:rsidP="00065BD6">
            <w:pPr>
              <w:widowControl w:val="0"/>
              <w:suppressAutoHyphens/>
              <w:spacing w:before="0" w:after="0"/>
              <w:ind w:firstLine="0"/>
              <w:rPr>
                <w:rFonts w:eastAsia="Segoe UI"/>
                <w:color w:val="000000" w:themeColor="text1"/>
                <w:spacing w:val="2"/>
                <w:sz w:val="22"/>
                <w:szCs w:val="22"/>
              </w:rPr>
            </w:pPr>
            <w:r w:rsidRPr="000A6ABA">
              <w:rPr>
                <w:rFonts w:eastAsia="Segoe UI"/>
                <w:color w:val="000000" w:themeColor="text1"/>
                <w:spacing w:val="2"/>
                <w:sz w:val="22"/>
                <w:szCs w:val="22"/>
              </w:rPr>
              <w:t>Thông tư số 14/2026/TT-BCA ngày 03 tháng 02 năm 2026 của Bộ trưởng Bộ Công an quy định chi tiết Chương trình An ninh hàng không và kiểm soát chất lượng An ninh hàng không Việt Nam.</w:t>
            </w:r>
          </w:p>
        </w:tc>
        <w:tc>
          <w:tcPr>
            <w:tcW w:w="963" w:type="dxa"/>
            <w:vAlign w:val="center"/>
          </w:tcPr>
          <w:p w:rsidR="006F4C12" w:rsidRPr="000A6ABA" w:rsidRDefault="006F4C12" w:rsidP="00065BD6">
            <w:pPr>
              <w:spacing w:before="0" w:after="0"/>
              <w:ind w:firstLine="0"/>
              <w:jc w:val="center"/>
              <w:rPr>
                <w:b/>
                <w:sz w:val="22"/>
                <w:szCs w:val="22"/>
              </w:rPr>
            </w:pPr>
            <w:r w:rsidRPr="000A6ABA">
              <w:rPr>
                <w:sz w:val="22"/>
                <w:szCs w:val="22"/>
              </w:rPr>
              <w:t>Bảo đảm an ninh hàng không</w:t>
            </w:r>
          </w:p>
        </w:tc>
        <w:tc>
          <w:tcPr>
            <w:tcW w:w="1511" w:type="dxa"/>
            <w:vAlign w:val="center"/>
          </w:tcPr>
          <w:p w:rsidR="006F4C12" w:rsidRPr="000A6ABA" w:rsidRDefault="006F4C12" w:rsidP="00065BD6">
            <w:pPr>
              <w:spacing w:before="0" w:after="0"/>
              <w:ind w:firstLine="0"/>
              <w:jc w:val="center"/>
              <w:rPr>
                <w:sz w:val="22"/>
                <w:szCs w:val="22"/>
              </w:rPr>
            </w:pPr>
            <w:r w:rsidRPr="000A6ABA">
              <w:rPr>
                <w:sz w:val="22"/>
                <w:szCs w:val="22"/>
              </w:rPr>
              <w:t xml:space="preserve">Phòng Quản lý </w:t>
            </w:r>
          </w:p>
          <w:p w:rsidR="006F4C12" w:rsidRPr="000A6ABA" w:rsidRDefault="006F4C12" w:rsidP="00065BD6">
            <w:pPr>
              <w:spacing w:before="0" w:after="0"/>
              <w:ind w:firstLine="0"/>
              <w:jc w:val="center"/>
              <w:rPr>
                <w:sz w:val="22"/>
                <w:szCs w:val="22"/>
              </w:rPr>
            </w:pPr>
            <w:r w:rsidRPr="000A6ABA">
              <w:rPr>
                <w:sz w:val="22"/>
                <w:szCs w:val="22"/>
              </w:rPr>
              <w:t>xuất nhập cảnh Công an tỉnh An Giang</w:t>
            </w:r>
          </w:p>
        </w:tc>
      </w:tr>
      <w:tr w:rsidR="006F4C12" w:rsidRPr="000A6ABA" w:rsidTr="001F4479">
        <w:trPr>
          <w:cantSplit/>
        </w:trPr>
        <w:tc>
          <w:tcPr>
            <w:tcW w:w="743" w:type="dxa"/>
            <w:vAlign w:val="center"/>
          </w:tcPr>
          <w:p w:rsidR="006F4C12" w:rsidRPr="000A6ABA" w:rsidRDefault="006F4C12" w:rsidP="00065BD6">
            <w:pPr>
              <w:spacing w:before="0" w:after="0"/>
              <w:ind w:firstLine="0"/>
              <w:jc w:val="center"/>
              <w:rPr>
                <w:sz w:val="22"/>
                <w:szCs w:val="22"/>
              </w:rPr>
            </w:pPr>
            <w:r w:rsidRPr="000A6ABA">
              <w:rPr>
                <w:sz w:val="22"/>
                <w:szCs w:val="22"/>
              </w:rPr>
              <w:t>3</w:t>
            </w:r>
          </w:p>
        </w:tc>
        <w:tc>
          <w:tcPr>
            <w:tcW w:w="1377" w:type="dxa"/>
            <w:vAlign w:val="center"/>
          </w:tcPr>
          <w:p w:rsidR="006F4C12" w:rsidRPr="000A6ABA" w:rsidRDefault="006F4C12" w:rsidP="00065BD6">
            <w:pPr>
              <w:spacing w:before="0" w:after="0"/>
              <w:ind w:firstLine="0"/>
              <w:jc w:val="center"/>
              <w:rPr>
                <w:sz w:val="22"/>
                <w:szCs w:val="22"/>
              </w:rPr>
            </w:pPr>
            <w:r w:rsidRPr="000A6ABA">
              <w:rPr>
                <w:sz w:val="22"/>
                <w:szCs w:val="22"/>
              </w:rPr>
              <w:t>3.000.370</w:t>
            </w:r>
          </w:p>
        </w:tc>
        <w:tc>
          <w:tcPr>
            <w:tcW w:w="1984" w:type="dxa"/>
            <w:vAlign w:val="center"/>
          </w:tcPr>
          <w:p w:rsidR="006F4C12" w:rsidRPr="000A6ABA" w:rsidRDefault="006F4C12" w:rsidP="00065BD6">
            <w:pPr>
              <w:widowControl w:val="0"/>
              <w:suppressAutoHyphens/>
              <w:spacing w:before="0" w:after="0"/>
              <w:ind w:firstLine="0"/>
              <w:rPr>
                <w:rFonts w:eastAsia="Times New Roman"/>
                <w:sz w:val="22"/>
                <w:szCs w:val="22"/>
                <w:lang w:eastAsia="ar-SA"/>
              </w:rPr>
            </w:pPr>
            <w:r w:rsidRPr="000A6ABA">
              <w:rPr>
                <w:rFonts w:eastAsia="Segoe UI"/>
                <w:color w:val="000000" w:themeColor="text1"/>
                <w:spacing w:val="2"/>
                <w:sz w:val="22"/>
                <w:szCs w:val="22"/>
              </w:rPr>
              <w:t>Cấp thẻ kiểm soát an ninh cảng hàng không, sân bay có giá trị sử dụng ngắn hạn</w:t>
            </w:r>
          </w:p>
        </w:tc>
        <w:tc>
          <w:tcPr>
            <w:tcW w:w="2595" w:type="dxa"/>
            <w:vAlign w:val="center"/>
          </w:tcPr>
          <w:p w:rsidR="006F4C12" w:rsidRPr="000A6ABA" w:rsidRDefault="006F4C12" w:rsidP="00065BD6">
            <w:pPr>
              <w:widowControl w:val="0"/>
              <w:suppressAutoHyphens/>
              <w:spacing w:before="0" w:after="0"/>
              <w:ind w:firstLine="0"/>
              <w:rPr>
                <w:rFonts w:eastAsia="Segoe UI"/>
                <w:color w:val="000000" w:themeColor="text1"/>
                <w:spacing w:val="2"/>
                <w:sz w:val="22"/>
                <w:szCs w:val="22"/>
              </w:rPr>
            </w:pPr>
            <w:r w:rsidRPr="000A6ABA">
              <w:rPr>
                <w:rFonts w:eastAsia="Segoe UI"/>
                <w:color w:val="000000" w:themeColor="text1"/>
                <w:spacing w:val="2"/>
                <w:sz w:val="22"/>
                <w:szCs w:val="22"/>
              </w:rPr>
              <w:t>Thông tư số 14/2026/TT-BCA ngày 03 tháng 02 năm 2026 của Bộ trưởng Bộ Công an quy định chi tiết Chương trình An ninh hàng không và kiểm soát chất lượng An ninh hàng không Việt Nam.</w:t>
            </w:r>
          </w:p>
        </w:tc>
        <w:tc>
          <w:tcPr>
            <w:tcW w:w="963" w:type="dxa"/>
            <w:vAlign w:val="center"/>
          </w:tcPr>
          <w:p w:rsidR="006F4C12" w:rsidRPr="000A6ABA" w:rsidRDefault="006F4C12" w:rsidP="00065BD6">
            <w:pPr>
              <w:spacing w:before="0" w:after="0"/>
              <w:ind w:firstLine="0"/>
              <w:jc w:val="center"/>
              <w:rPr>
                <w:sz w:val="22"/>
                <w:szCs w:val="22"/>
              </w:rPr>
            </w:pPr>
            <w:r w:rsidRPr="000A6ABA">
              <w:rPr>
                <w:sz w:val="22"/>
                <w:szCs w:val="22"/>
              </w:rPr>
              <w:t>Bảo đảm an ninh hàng không</w:t>
            </w:r>
          </w:p>
        </w:tc>
        <w:tc>
          <w:tcPr>
            <w:tcW w:w="1511" w:type="dxa"/>
            <w:vAlign w:val="center"/>
          </w:tcPr>
          <w:p w:rsidR="006F4C12" w:rsidRPr="000A6ABA" w:rsidRDefault="006F4C12" w:rsidP="00065BD6">
            <w:pPr>
              <w:spacing w:before="0" w:after="0"/>
              <w:ind w:firstLine="0"/>
              <w:jc w:val="center"/>
              <w:rPr>
                <w:sz w:val="22"/>
                <w:szCs w:val="22"/>
              </w:rPr>
            </w:pPr>
            <w:r w:rsidRPr="000A6ABA">
              <w:rPr>
                <w:sz w:val="22"/>
                <w:szCs w:val="22"/>
              </w:rPr>
              <w:t xml:space="preserve">Phòng Quản lý </w:t>
            </w:r>
          </w:p>
          <w:p w:rsidR="006F4C12" w:rsidRPr="000A6ABA" w:rsidRDefault="006F4C12" w:rsidP="00065BD6">
            <w:pPr>
              <w:spacing w:before="0" w:after="0"/>
              <w:ind w:firstLine="0"/>
              <w:jc w:val="center"/>
              <w:rPr>
                <w:sz w:val="22"/>
                <w:szCs w:val="22"/>
              </w:rPr>
            </w:pPr>
            <w:r w:rsidRPr="000A6ABA">
              <w:rPr>
                <w:sz w:val="22"/>
                <w:szCs w:val="22"/>
              </w:rPr>
              <w:t>xuất nhập cảnh Công an tỉnh An Giang</w:t>
            </w:r>
          </w:p>
        </w:tc>
      </w:tr>
      <w:tr w:rsidR="006F4C12" w:rsidRPr="000A6ABA" w:rsidTr="001F4479">
        <w:trPr>
          <w:cantSplit/>
        </w:trPr>
        <w:tc>
          <w:tcPr>
            <w:tcW w:w="743" w:type="dxa"/>
            <w:vAlign w:val="center"/>
          </w:tcPr>
          <w:p w:rsidR="006F4C12" w:rsidRPr="000A6ABA" w:rsidRDefault="006F4C12" w:rsidP="00065BD6">
            <w:pPr>
              <w:spacing w:before="0" w:after="0"/>
              <w:ind w:firstLine="0"/>
              <w:jc w:val="center"/>
              <w:rPr>
                <w:sz w:val="22"/>
                <w:szCs w:val="22"/>
              </w:rPr>
            </w:pPr>
            <w:r w:rsidRPr="000A6ABA">
              <w:rPr>
                <w:sz w:val="22"/>
                <w:szCs w:val="22"/>
              </w:rPr>
              <w:t>4</w:t>
            </w:r>
          </w:p>
        </w:tc>
        <w:tc>
          <w:tcPr>
            <w:tcW w:w="1377" w:type="dxa"/>
            <w:vAlign w:val="center"/>
          </w:tcPr>
          <w:p w:rsidR="006F4C12" w:rsidRPr="000A6ABA" w:rsidRDefault="006F4C12" w:rsidP="00065BD6">
            <w:pPr>
              <w:spacing w:before="0" w:after="0"/>
              <w:ind w:firstLine="0"/>
              <w:jc w:val="center"/>
              <w:rPr>
                <w:sz w:val="22"/>
                <w:szCs w:val="22"/>
              </w:rPr>
            </w:pPr>
            <w:r w:rsidRPr="000A6ABA">
              <w:rPr>
                <w:sz w:val="22"/>
                <w:szCs w:val="22"/>
              </w:rPr>
              <w:t>3.000.371</w:t>
            </w:r>
          </w:p>
        </w:tc>
        <w:tc>
          <w:tcPr>
            <w:tcW w:w="1984" w:type="dxa"/>
            <w:vAlign w:val="center"/>
          </w:tcPr>
          <w:p w:rsidR="006F4C12" w:rsidRPr="000A6ABA" w:rsidRDefault="006F4C12" w:rsidP="00065BD6">
            <w:pPr>
              <w:widowControl w:val="0"/>
              <w:suppressAutoHyphens/>
              <w:spacing w:before="0" w:after="0"/>
              <w:ind w:firstLine="0"/>
              <w:rPr>
                <w:rFonts w:eastAsia="Times New Roman"/>
                <w:sz w:val="22"/>
                <w:szCs w:val="22"/>
                <w:lang w:eastAsia="ar-SA"/>
              </w:rPr>
            </w:pPr>
            <w:r w:rsidRPr="000A6ABA">
              <w:rPr>
                <w:rFonts w:eastAsia="Segoe UI"/>
                <w:color w:val="000000" w:themeColor="text1"/>
                <w:spacing w:val="2"/>
                <w:sz w:val="22"/>
                <w:szCs w:val="22"/>
              </w:rPr>
              <w:t>Cấp mới giấy phép kiểm soát an ninh cảng hàng không, sân bay có giá trị sử dụng dài hạn</w:t>
            </w:r>
          </w:p>
        </w:tc>
        <w:tc>
          <w:tcPr>
            <w:tcW w:w="2595" w:type="dxa"/>
            <w:vAlign w:val="center"/>
          </w:tcPr>
          <w:p w:rsidR="006F4C12" w:rsidRPr="000A6ABA" w:rsidRDefault="006F4C12" w:rsidP="00065BD6">
            <w:pPr>
              <w:widowControl w:val="0"/>
              <w:suppressAutoHyphens/>
              <w:spacing w:before="0" w:after="0"/>
              <w:ind w:firstLine="0"/>
              <w:rPr>
                <w:rFonts w:eastAsia="Segoe UI"/>
                <w:color w:val="000000" w:themeColor="text1"/>
                <w:spacing w:val="2"/>
                <w:sz w:val="22"/>
                <w:szCs w:val="22"/>
              </w:rPr>
            </w:pPr>
            <w:r w:rsidRPr="000A6ABA">
              <w:rPr>
                <w:rFonts w:eastAsia="Segoe UI"/>
                <w:color w:val="000000" w:themeColor="text1"/>
                <w:spacing w:val="2"/>
                <w:sz w:val="22"/>
                <w:szCs w:val="22"/>
              </w:rPr>
              <w:t>Thông tư số 14/2026/TT-BCA ngày 03 tháng 02 năm 2026 của Bộ trưởng Bộ Công an quy định chi tiết Chương trình An ninh hàng không và kiểm soát chất lượng An ninh hàng không Việt Nam.</w:t>
            </w:r>
          </w:p>
        </w:tc>
        <w:tc>
          <w:tcPr>
            <w:tcW w:w="963" w:type="dxa"/>
            <w:vAlign w:val="center"/>
          </w:tcPr>
          <w:p w:rsidR="006F4C12" w:rsidRPr="000A6ABA" w:rsidRDefault="006F4C12" w:rsidP="00065BD6">
            <w:pPr>
              <w:spacing w:before="0" w:after="0"/>
              <w:ind w:firstLine="0"/>
              <w:jc w:val="center"/>
              <w:rPr>
                <w:sz w:val="22"/>
                <w:szCs w:val="22"/>
              </w:rPr>
            </w:pPr>
            <w:r w:rsidRPr="000A6ABA">
              <w:rPr>
                <w:sz w:val="22"/>
                <w:szCs w:val="22"/>
              </w:rPr>
              <w:t>Bảo đảm an ninh hàng không</w:t>
            </w:r>
          </w:p>
        </w:tc>
        <w:tc>
          <w:tcPr>
            <w:tcW w:w="1511" w:type="dxa"/>
            <w:vAlign w:val="center"/>
          </w:tcPr>
          <w:p w:rsidR="006F4C12" w:rsidRPr="000A6ABA" w:rsidRDefault="006F4C12" w:rsidP="00065BD6">
            <w:pPr>
              <w:spacing w:before="0" w:after="0"/>
              <w:ind w:firstLine="0"/>
              <w:jc w:val="center"/>
              <w:rPr>
                <w:sz w:val="22"/>
                <w:szCs w:val="22"/>
              </w:rPr>
            </w:pPr>
            <w:r w:rsidRPr="000A6ABA">
              <w:rPr>
                <w:sz w:val="22"/>
                <w:szCs w:val="22"/>
              </w:rPr>
              <w:t xml:space="preserve">Phòng Quản lý </w:t>
            </w:r>
          </w:p>
          <w:p w:rsidR="006F4C12" w:rsidRPr="000A6ABA" w:rsidRDefault="006F4C12" w:rsidP="00065BD6">
            <w:pPr>
              <w:spacing w:before="0" w:after="0"/>
              <w:ind w:firstLine="0"/>
              <w:jc w:val="center"/>
              <w:rPr>
                <w:sz w:val="22"/>
                <w:szCs w:val="22"/>
              </w:rPr>
            </w:pPr>
            <w:r w:rsidRPr="000A6ABA">
              <w:rPr>
                <w:sz w:val="22"/>
                <w:szCs w:val="22"/>
              </w:rPr>
              <w:t>xuất nhập cảnh Công an tỉnh An Giang</w:t>
            </w:r>
          </w:p>
        </w:tc>
      </w:tr>
      <w:tr w:rsidR="006F4C12" w:rsidRPr="000A6ABA" w:rsidTr="001F4479">
        <w:trPr>
          <w:cantSplit/>
        </w:trPr>
        <w:tc>
          <w:tcPr>
            <w:tcW w:w="743" w:type="dxa"/>
            <w:vAlign w:val="center"/>
          </w:tcPr>
          <w:p w:rsidR="006F4C12" w:rsidRPr="000A6ABA" w:rsidRDefault="006F4C12" w:rsidP="00065BD6">
            <w:pPr>
              <w:spacing w:before="0" w:after="0"/>
              <w:ind w:firstLine="0"/>
              <w:jc w:val="center"/>
              <w:rPr>
                <w:sz w:val="22"/>
                <w:szCs w:val="22"/>
              </w:rPr>
            </w:pPr>
            <w:r w:rsidRPr="000A6ABA">
              <w:rPr>
                <w:sz w:val="22"/>
                <w:szCs w:val="22"/>
              </w:rPr>
              <w:t>5</w:t>
            </w:r>
          </w:p>
        </w:tc>
        <w:tc>
          <w:tcPr>
            <w:tcW w:w="1377" w:type="dxa"/>
            <w:vAlign w:val="center"/>
          </w:tcPr>
          <w:p w:rsidR="006F4C12" w:rsidRPr="000A6ABA" w:rsidRDefault="006F4C12" w:rsidP="00065BD6">
            <w:pPr>
              <w:spacing w:before="0" w:after="0"/>
              <w:ind w:firstLine="0"/>
              <w:jc w:val="center"/>
              <w:rPr>
                <w:sz w:val="22"/>
                <w:szCs w:val="22"/>
              </w:rPr>
            </w:pPr>
            <w:r w:rsidRPr="000A6ABA">
              <w:rPr>
                <w:sz w:val="22"/>
                <w:szCs w:val="22"/>
              </w:rPr>
              <w:t>3.000.372</w:t>
            </w:r>
          </w:p>
        </w:tc>
        <w:tc>
          <w:tcPr>
            <w:tcW w:w="1984" w:type="dxa"/>
            <w:vAlign w:val="center"/>
          </w:tcPr>
          <w:p w:rsidR="006F4C12" w:rsidRPr="000A6ABA" w:rsidRDefault="006F4C12" w:rsidP="00065BD6">
            <w:pPr>
              <w:widowControl w:val="0"/>
              <w:suppressAutoHyphens/>
              <w:spacing w:before="0" w:after="0"/>
              <w:ind w:firstLine="0"/>
              <w:rPr>
                <w:rFonts w:eastAsia="Times New Roman"/>
                <w:sz w:val="22"/>
                <w:szCs w:val="22"/>
                <w:lang w:eastAsia="ar-SA"/>
              </w:rPr>
            </w:pPr>
            <w:r w:rsidRPr="000A6ABA">
              <w:rPr>
                <w:rFonts w:eastAsia="Segoe UI"/>
                <w:color w:val="000000" w:themeColor="text1"/>
                <w:spacing w:val="2"/>
                <w:sz w:val="22"/>
                <w:szCs w:val="22"/>
              </w:rPr>
              <w:t>Cấp lại giấy phép kiểm soát an ninh cảng hàng không, sân bay có giá trị sử dụng dài hạn</w:t>
            </w:r>
          </w:p>
        </w:tc>
        <w:tc>
          <w:tcPr>
            <w:tcW w:w="2595" w:type="dxa"/>
            <w:vAlign w:val="center"/>
          </w:tcPr>
          <w:p w:rsidR="006F4C12" w:rsidRPr="000A6ABA" w:rsidRDefault="006F4C12" w:rsidP="00065BD6">
            <w:pPr>
              <w:widowControl w:val="0"/>
              <w:suppressAutoHyphens/>
              <w:spacing w:before="0" w:after="0"/>
              <w:ind w:firstLine="0"/>
              <w:rPr>
                <w:rFonts w:eastAsia="Segoe UI"/>
                <w:color w:val="000000" w:themeColor="text1"/>
                <w:spacing w:val="2"/>
                <w:sz w:val="22"/>
                <w:szCs w:val="22"/>
              </w:rPr>
            </w:pPr>
            <w:r w:rsidRPr="000A6ABA">
              <w:rPr>
                <w:rFonts w:eastAsia="Segoe UI"/>
                <w:color w:val="000000" w:themeColor="text1"/>
                <w:spacing w:val="2"/>
                <w:sz w:val="22"/>
                <w:szCs w:val="22"/>
              </w:rPr>
              <w:t>Thông tư số 14/2026/TT-BCA ngày 03 tháng 02 năm 2026 của Bộ trưởng Bộ Công an quy định chi tiết Chương trình An ninh hàng không và kiểm soát chất lượng An ninh hàng không Việt Nam.</w:t>
            </w:r>
          </w:p>
        </w:tc>
        <w:tc>
          <w:tcPr>
            <w:tcW w:w="963" w:type="dxa"/>
            <w:vAlign w:val="center"/>
          </w:tcPr>
          <w:p w:rsidR="006F4C12" w:rsidRPr="000A6ABA" w:rsidRDefault="006F4C12" w:rsidP="00065BD6">
            <w:pPr>
              <w:spacing w:before="0" w:after="0"/>
              <w:ind w:firstLine="0"/>
              <w:jc w:val="center"/>
              <w:rPr>
                <w:sz w:val="22"/>
                <w:szCs w:val="22"/>
              </w:rPr>
            </w:pPr>
            <w:r w:rsidRPr="000A6ABA">
              <w:rPr>
                <w:sz w:val="22"/>
                <w:szCs w:val="22"/>
              </w:rPr>
              <w:t>Bảo đảm an ninh hàng không</w:t>
            </w:r>
          </w:p>
        </w:tc>
        <w:tc>
          <w:tcPr>
            <w:tcW w:w="1511" w:type="dxa"/>
            <w:vAlign w:val="center"/>
          </w:tcPr>
          <w:p w:rsidR="006F4C12" w:rsidRPr="000A6ABA" w:rsidRDefault="006F4C12" w:rsidP="00065BD6">
            <w:pPr>
              <w:spacing w:before="0" w:after="0"/>
              <w:ind w:firstLine="0"/>
              <w:jc w:val="center"/>
              <w:rPr>
                <w:sz w:val="22"/>
                <w:szCs w:val="22"/>
              </w:rPr>
            </w:pPr>
            <w:r w:rsidRPr="000A6ABA">
              <w:rPr>
                <w:sz w:val="22"/>
                <w:szCs w:val="22"/>
              </w:rPr>
              <w:t xml:space="preserve">Phòng Quản lý </w:t>
            </w:r>
          </w:p>
          <w:p w:rsidR="006F4C12" w:rsidRPr="000A6ABA" w:rsidRDefault="006F4C12" w:rsidP="00065BD6">
            <w:pPr>
              <w:spacing w:before="0" w:after="0"/>
              <w:ind w:firstLine="0"/>
              <w:jc w:val="center"/>
              <w:rPr>
                <w:sz w:val="22"/>
                <w:szCs w:val="22"/>
              </w:rPr>
            </w:pPr>
            <w:r w:rsidRPr="000A6ABA">
              <w:rPr>
                <w:sz w:val="22"/>
                <w:szCs w:val="22"/>
              </w:rPr>
              <w:t>xuất nhập cảnh Công an tỉnh An Giang</w:t>
            </w:r>
          </w:p>
        </w:tc>
      </w:tr>
      <w:tr w:rsidR="006F4C12" w:rsidRPr="000A6ABA" w:rsidTr="001F4479">
        <w:trPr>
          <w:cantSplit/>
        </w:trPr>
        <w:tc>
          <w:tcPr>
            <w:tcW w:w="743" w:type="dxa"/>
            <w:vAlign w:val="center"/>
          </w:tcPr>
          <w:p w:rsidR="006F4C12" w:rsidRPr="000A6ABA" w:rsidRDefault="006F4C12" w:rsidP="00065BD6">
            <w:pPr>
              <w:spacing w:before="0" w:after="0"/>
              <w:ind w:firstLine="0"/>
              <w:jc w:val="center"/>
              <w:rPr>
                <w:sz w:val="22"/>
                <w:szCs w:val="22"/>
              </w:rPr>
            </w:pPr>
            <w:r w:rsidRPr="000A6ABA">
              <w:rPr>
                <w:sz w:val="22"/>
                <w:szCs w:val="22"/>
              </w:rPr>
              <w:lastRenderedPageBreak/>
              <w:t>6</w:t>
            </w:r>
          </w:p>
        </w:tc>
        <w:tc>
          <w:tcPr>
            <w:tcW w:w="1377" w:type="dxa"/>
            <w:vAlign w:val="center"/>
          </w:tcPr>
          <w:p w:rsidR="006F4C12" w:rsidRPr="000A6ABA" w:rsidRDefault="006F4C12" w:rsidP="00065BD6">
            <w:pPr>
              <w:spacing w:before="0" w:after="0"/>
              <w:ind w:firstLine="0"/>
              <w:jc w:val="center"/>
              <w:rPr>
                <w:sz w:val="22"/>
                <w:szCs w:val="22"/>
              </w:rPr>
            </w:pPr>
            <w:r w:rsidRPr="000A6ABA">
              <w:rPr>
                <w:sz w:val="22"/>
                <w:szCs w:val="22"/>
              </w:rPr>
              <w:t>3.000.373</w:t>
            </w:r>
          </w:p>
        </w:tc>
        <w:tc>
          <w:tcPr>
            <w:tcW w:w="1984" w:type="dxa"/>
            <w:vAlign w:val="center"/>
          </w:tcPr>
          <w:p w:rsidR="006F4C12" w:rsidRPr="000A6ABA" w:rsidRDefault="006F4C12" w:rsidP="00065BD6">
            <w:pPr>
              <w:widowControl w:val="0"/>
              <w:suppressAutoHyphens/>
              <w:spacing w:before="0" w:after="0"/>
              <w:ind w:firstLine="0"/>
              <w:rPr>
                <w:rFonts w:eastAsia="Times New Roman"/>
                <w:sz w:val="22"/>
                <w:szCs w:val="22"/>
                <w:lang w:eastAsia="ar-SA"/>
              </w:rPr>
            </w:pPr>
            <w:r w:rsidRPr="000A6ABA">
              <w:rPr>
                <w:rFonts w:eastAsia="Segoe UI"/>
                <w:color w:val="000000" w:themeColor="text1"/>
                <w:spacing w:val="2"/>
                <w:sz w:val="22"/>
                <w:szCs w:val="22"/>
              </w:rPr>
              <w:t>Cấp giấy phép kiểm soát an ninh cảng hàng không, sân bay có giá trị sử dụng ngắn hạn</w:t>
            </w:r>
          </w:p>
        </w:tc>
        <w:tc>
          <w:tcPr>
            <w:tcW w:w="2595" w:type="dxa"/>
            <w:vAlign w:val="center"/>
          </w:tcPr>
          <w:p w:rsidR="006F4C12" w:rsidRPr="000A6ABA" w:rsidRDefault="006F4C12" w:rsidP="00065BD6">
            <w:pPr>
              <w:widowControl w:val="0"/>
              <w:suppressAutoHyphens/>
              <w:spacing w:before="0" w:after="0"/>
              <w:ind w:firstLine="0"/>
              <w:rPr>
                <w:rFonts w:eastAsia="Segoe UI"/>
                <w:color w:val="000000" w:themeColor="text1"/>
                <w:spacing w:val="2"/>
                <w:sz w:val="22"/>
                <w:szCs w:val="22"/>
              </w:rPr>
            </w:pPr>
            <w:r w:rsidRPr="000A6ABA">
              <w:rPr>
                <w:rFonts w:eastAsia="Segoe UI"/>
                <w:color w:val="000000" w:themeColor="text1"/>
                <w:spacing w:val="2"/>
                <w:sz w:val="22"/>
                <w:szCs w:val="22"/>
              </w:rPr>
              <w:t>Thông tư số 14/2026/TT-BCA ngày 03 tháng 02 năm 2026 của Bộ trưởng Bộ Công an quy định chi tiết Chương trình An ninh hàng không và kiểm soát chất lượng An ninh hàng không Việt Nam.</w:t>
            </w:r>
          </w:p>
        </w:tc>
        <w:tc>
          <w:tcPr>
            <w:tcW w:w="963" w:type="dxa"/>
            <w:vAlign w:val="center"/>
          </w:tcPr>
          <w:p w:rsidR="006F4C12" w:rsidRPr="000A6ABA" w:rsidRDefault="006F4C12" w:rsidP="00065BD6">
            <w:pPr>
              <w:spacing w:before="0" w:after="0"/>
              <w:ind w:firstLine="0"/>
              <w:jc w:val="center"/>
              <w:rPr>
                <w:sz w:val="22"/>
                <w:szCs w:val="22"/>
              </w:rPr>
            </w:pPr>
            <w:r w:rsidRPr="000A6ABA">
              <w:rPr>
                <w:sz w:val="22"/>
                <w:szCs w:val="22"/>
              </w:rPr>
              <w:t>Bảo đảm an ninh hàng không</w:t>
            </w:r>
          </w:p>
        </w:tc>
        <w:tc>
          <w:tcPr>
            <w:tcW w:w="1511" w:type="dxa"/>
            <w:vAlign w:val="center"/>
          </w:tcPr>
          <w:p w:rsidR="006F4C12" w:rsidRPr="000A6ABA" w:rsidRDefault="006F4C12" w:rsidP="00065BD6">
            <w:pPr>
              <w:spacing w:before="0" w:after="0"/>
              <w:ind w:firstLine="0"/>
              <w:jc w:val="center"/>
              <w:rPr>
                <w:sz w:val="22"/>
                <w:szCs w:val="22"/>
              </w:rPr>
            </w:pPr>
            <w:r w:rsidRPr="000A6ABA">
              <w:rPr>
                <w:sz w:val="22"/>
                <w:szCs w:val="22"/>
              </w:rPr>
              <w:t xml:space="preserve">Phòng Quản lý </w:t>
            </w:r>
          </w:p>
          <w:p w:rsidR="006F4C12" w:rsidRPr="000A6ABA" w:rsidRDefault="006F4C12" w:rsidP="00065BD6">
            <w:pPr>
              <w:spacing w:before="0" w:after="0"/>
              <w:ind w:firstLine="0"/>
              <w:jc w:val="center"/>
              <w:rPr>
                <w:sz w:val="22"/>
                <w:szCs w:val="22"/>
              </w:rPr>
            </w:pPr>
            <w:r w:rsidRPr="000A6ABA">
              <w:rPr>
                <w:sz w:val="22"/>
                <w:szCs w:val="22"/>
              </w:rPr>
              <w:t>xuất nhập cảnh Công an tỉnh An Giang</w:t>
            </w:r>
          </w:p>
        </w:tc>
      </w:tr>
    </w:tbl>
    <w:p w:rsidR="006F4C12" w:rsidRPr="000A6ABA" w:rsidRDefault="006F4C12" w:rsidP="006F4C12">
      <w:pPr>
        <w:spacing w:before="360"/>
        <w:ind w:firstLine="0"/>
        <w:rPr>
          <w:rFonts w:cs="Times New Roman"/>
          <w:b/>
          <w:sz w:val="22"/>
        </w:rPr>
      </w:pPr>
      <w:r w:rsidRPr="000A6ABA">
        <w:rPr>
          <w:rFonts w:cs="Times New Roman"/>
          <w:b/>
          <w:sz w:val="22"/>
        </w:rPr>
        <w:tab/>
      </w:r>
    </w:p>
    <w:p w:rsidR="006F4C12" w:rsidRPr="000A6ABA" w:rsidRDefault="006F4C12" w:rsidP="006F4C12">
      <w:pPr>
        <w:ind w:firstLine="0"/>
        <w:rPr>
          <w:rFonts w:cs="Times New Roman"/>
          <w:b/>
          <w:sz w:val="22"/>
        </w:rPr>
      </w:pPr>
    </w:p>
    <w:p w:rsidR="006F4C12" w:rsidRPr="000A6ABA" w:rsidRDefault="006F4C12" w:rsidP="006F4C12">
      <w:pPr>
        <w:spacing w:before="0" w:after="0"/>
        <w:ind w:firstLine="720"/>
        <w:jc w:val="left"/>
        <w:rPr>
          <w:rFonts w:cs="Times New Roman"/>
          <w:b/>
          <w:sz w:val="22"/>
        </w:rPr>
      </w:pPr>
    </w:p>
    <w:p w:rsidR="00614C61" w:rsidRDefault="00614C61"/>
    <w:sectPr w:rsidR="00614C61" w:rsidSect="002E1637">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F4C12"/>
    <w:rsid w:val="00094032"/>
    <w:rsid w:val="000A6ABA"/>
    <w:rsid w:val="001F4479"/>
    <w:rsid w:val="002E1637"/>
    <w:rsid w:val="00614C61"/>
    <w:rsid w:val="006F4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C12"/>
    <w:pPr>
      <w:spacing w:before="120" w:after="120" w:line="240" w:lineRule="auto"/>
      <w:ind w:firstLine="68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F4C1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2026-04-27T09:22:00Z</dcterms:created>
  <dcterms:modified xsi:type="dcterms:W3CDTF">2026-04-27T09:27:00Z</dcterms:modified>
</cp:coreProperties>
</file>